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F" w:rsidRPr="0096151D" w:rsidRDefault="008A65BF" w:rsidP="008A65BF">
      <w:pPr>
        <w:pStyle w:val="Nadpis2"/>
        <w:rPr>
          <w:rFonts w:ascii="Courier New" w:hAnsi="Courier New" w:cs="Courier New"/>
          <w:color w:val="auto"/>
          <w:spacing w:val="72"/>
        </w:rPr>
      </w:pPr>
      <w:r w:rsidRPr="0096151D">
        <w:rPr>
          <w:rFonts w:ascii="Courier New" w:hAnsi="Courier New" w:cs="Courier New"/>
          <w:color w:val="auto"/>
          <w:spacing w:val="72"/>
        </w:rPr>
        <w:t>Řízení rizik</w:t>
      </w:r>
      <w:r w:rsidR="00095C62">
        <w:rPr>
          <w:rFonts w:ascii="Courier New" w:hAnsi="Courier New" w:cs="Courier New"/>
          <w:color w:val="auto"/>
          <w:spacing w:val="72"/>
        </w:rPr>
        <w:tab/>
      </w:r>
      <w:r w:rsidR="00095C62">
        <w:rPr>
          <w:rFonts w:ascii="Courier New" w:hAnsi="Courier New" w:cs="Courier New"/>
          <w:color w:val="auto"/>
          <w:spacing w:val="72"/>
        </w:rPr>
        <w:tab/>
      </w:r>
      <w:r w:rsidR="00095C62">
        <w:rPr>
          <w:rFonts w:ascii="Courier New" w:hAnsi="Courier New" w:cs="Courier New"/>
          <w:color w:val="auto"/>
          <w:spacing w:val="72"/>
        </w:rPr>
        <w:tab/>
      </w:r>
      <w:r w:rsidR="00095C62">
        <w:rPr>
          <w:rFonts w:ascii="Courier New" w:hAnsi="Courier New" w:cs="Courier New"/>
          <w:color w:val="auto"/>
          <w:spacing w:val="72"/>
        </w:rPr>
        <w:tab/>
      </w:r>
      <w:r w:rsidR="00095C62" w:rsidRPr="00095C62">
        <w:rPr>
          <w:rFonts w:ascii="Courier New" w:hAnsi="Courier New" w:cs="Courier New"/>
          <w:b w:val="0"/>
          <w:color w:val="auto"/>
          <w:spacing w:val="72"/>
          <w:sz w:val="16"/>
        </w:rPr>
        <w:t>I</w:t>
      </w:r>
      <w:r w:rsidR="0010447E">
        <w:rPr>
          <w:rFonts w:ascii="Courier New" w:hAnsi="Courier New" w:cs="Courier New"/>
          <w:b w:val="0"/>
          <w:color w:val="auto"/>
          <w:spacing w:val="72"/>
          <w:sz w:val="16"/>
        </w:rPr>
        <w:t>.</w:t>
      </w:r>
      <w:r w:rsidR="00095C62" w:rsidRPr="00095C62">
        <w:rPr>
          <w:rFonts w:ascii="Courier New" w:hAnsi="Courier New" w:cs="Courier New"/>
          <w:b w:val="0"/>
          <w:color w:val="auto"/>
          <w:spacing w:val="72"/>
          <w:sz w:val="16"/>
        </w:rPr>
        <w:t xml:space="preserve"> identifikace rizik</w:t>
      </w:r>
    </w:p>
    <w:p w:rsidR="008A65BF" w:rsidRDefault="008A65BF" w:rsidP="008A65BF"/>
    <w:p w:rsidR="008A65BF" w:rsidRPr="0096151D" w:rsidRDefault="008A65BF" w:rsidP="008A65BF">
      <w:pPr>
        <w:pBdr>
          <w:bottom w:val="single" w:sz="6" w:space="1" w:color="auto"/>
        </w:pBdr>
        <w:rPr>
          <w:rFonts w:ascii="Courier New" w:hAnsi="Courier New" w:cs="Courier New"/>
          <w:sz w:val="20"/>
        </w:rPr>
      </w:pPr>
      <w:r w:rsidRPr="0096151D">
        <w:rPr>
          <w:rFonts w:ascii="Courier New" w:hAnsi="Courier New" w:cs="Courier New"/>
          <w:sz w:val="20"/>
        </w:rPr>
        <w:t>Název projektu</w:t>
      </w:r>
      <w:r w:rsidR="0096151D" w:rsidRPr="0096151D">
        <w:rPr>
          <w:rFonts w:ascii="Courier New" w:hAnsi="Courier New" w:cs="Courier New"/>
          <w:sz w:val="20"/>
        </w:rPr>
        <w:t>:</w:t>
      </w:r>
      <w:r w:rsidR="0096151D" w:rsidRPr="0096151D">
        <w:rPr>
          <w:rFonts w:ascii="Courier New" w:hAnsi="Courier New" w:cs="Courier New"/>
          <w:sz w:val="20"/>
        </w:rPr>
        <w:tab/>
      </w:r>
      <w:r w:rsidR="0096151D" w:rsidRPr="0096151D">
        <w:rPr>
          <w:rFonts w:ascii="Courier New" w:hAnsi="Courier New" w:cs="Courier New"/>
          <w:sz w:val="20"/>
        </w:rPr>
        <w:tab/>
      </w:r>
      <w:r w:rsidR="0096151D" w:rsidRPr="0096151D">
        <w:rPr>
          <w:rFonts w:ascii="Courier New" w:hAnsi="Courier New" w:cs="Courier New"/>
          <w:sz w:val="20"/>
        </w:rPr>
        <w:tab/>
      </w:r>
      <w:r w:rsidRPr="0096151D">
        <w:rPr>
          <w:rFonts w:ascii="Courier New" w:hAnsi="Courier New" w:cs="Courier New"/>
          <w:sz w:val="20"/>
        </w:rPr>
        <w:tab/>
      </w:r>
      <w:r w:rsidR="0096151D" w:rsidRPr="0096151D">
        <w:rPr>
          <w:rFonts w:ascii="Courier New" w:hAnsi="Courier New" w:cs="Courier New"/>
          <w:sz w:val="20"/>
        </w:rPr>
        <w:tab/>
      </w:r>
      <w:r w:rsidR="0096151D" w:rsidRPr="0096151D">
        <w:rPr>
          <w:rFonts w:ascii="Courier New" w:hAnsi="Courier New" w:cs="Courier New"/>
          <w:sz w:val="20"/>
        </w:rPr>
        <w:tab/>
      </w:r>
      <w:r w:rsidRPr="0096151D">
        <w:rPr>
          <w:rFonts w:ascii="Courier New" w:hAnsi="Courier New" w:cs="Courier New"/>
          <w:sz w:val="20"/>
        </w:rPr>
        <w:t>Datum</w:t>
      </w:r>
      <w:r w:rsidR="0096151D" w:rsidRPr="0096151D">
        <w:rPr>
          <w:rFonts w:ascii="Courier New" w:hAnsi="Courier New" w:cs="Courier New"/>
          <w:sz w:val="20"/>
        </w:rPr>
        <w:t>:</w:t>
      </w:r>
      <w:r w:rsidR="0096151D" w:rsidRPr="0096151D">
        <w:rPr>
          <w:rFonts w:ascii="Courier New" w:hAnsi="Courier New" w:cs="Courier New"/>
          <w:sz w:val="20"/>
        </w:rPr>
        <w:tab/>
        <w:t xml:space="preserve"> </w:t>
      </w:r>
      <w:r w:rsidR="0096151D" w:rsidRPr="0096151D">
        <w:rPr>
          <w:rFonts w:ascii="Courier New" w:hAnsi="Courier New" w:cs="Courier New"/>
          <w:sz w:val="20"/>
        </w:rPr>
        <w:tab/>
        <w:t>Revize:</w:t>
      </w:r>
    </w:p>
    <w:tbl>
      <w:tblPr>
        <w:tblStyle w:val="Mkatabulky"/>
        <w:tblW w:w="0" w:type="auto"/>
        <w:tblInd w:w="-374" w:type="dxa"/>
        <w:tblLayout w:type="fixed"/>
        <w:tblLook w:val="04A0"/>
      </w:tblPr>
      <w:tblGrid>
        <w:gridCol w:w="398"/>
        <w:gridCol w:w="793"/>
        <w:gridCol w:w="2772"/>
        <w:gridCol w:w="2976"/>
        <w:gridCol w:w="2723"/>
      </w:tblGrid>
      <w:tr w:rsidR="00943429" w:rsidTr="00B60C71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943429" w:rsidRPr="00943429" w:rsidRDefault="00943429" w:rsidP="00943429">
            <w:pPr>
              <w:ind w:left="113" w:right="113"/>
              <w:rPr>
                <w:b/>
                <w:sz w:val="14"/>
              </w:rPr>
            </w:pPr>
            <w:r w:rsidRPr="00943429">
              <w:rPr>
                <w:b/>
                <w:sz w:val="14"/>
              </w:rPr>
              <w:t>Závažnost důsledků</w:t>
            </w:r>
            <w:r>
              <w:rPr>
                <w:b/>
                <w:sz w:val="14"/>
              </w:rPr>
              <w:t xml:space="preserve"> pro pokračování projektu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3429" w:rsidRDefault="00943429" w:rsidP="00943429">
            <w:pPr>
              <w:jc w:val="center"/>
              <w:rPr>
                <w:b/>
                <w:sz w:val="20"/>
              </w:rPr>
            </w:pPr>
          </w:p>
          <w:p w:rsidR="00943429" w:rsidRPr="00943429" w:rsidRDefault="00943429" w:rsidP="00943429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5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943429" w:rsidRDefault="00B312AB" w:rsidP="00943429">
            <w:r>
              <w:rPr>
                <w:noProof/>
                <w:lang w:eastAsia="cs-CZ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-3.7pt;margin-top:.15pt;width:403.5pt;height:203.5pt;flip:y;z-index:251658240;mso-position-horizontal-relative:text;mso-position-vertical-relative:text" coordsize="21600,21615" adj=",2527" path="wr-21600,,21600,43200,,,21600,21615nfewr-21600,,21600,43200,,,21600,21615l,21600nsxe">
                  <v:stroke dashstyle="1 1"/>
                  <v:path o:connectlocs="0,0;21600,21615;0,21600"/>
                </v:shape>
              </w:pict>
            </w:r>
          </w:p>
          <w:p w:rsidR="00943429" w:rsidRDefault="00943429" w:rsidP="00943429"/>
          <w:p w:rsidR="00943429" w:rsidRDefault="00943429" w:rsidP="00943429"/>
        </w:tc>
        <w:tc>
          <w:tcPr>
            <w:tcW w:w="2976" w:type="dxa"/>
            <w:shd w:val="clear" w:color="auto" w:fill="943634" w:themeFill="accent2" w:themeFillShade="BF"/>
          </w:tcPr>
          <w:p w:rsidR="00943429" w:rsidRDefault="00943429" w:rsidP="00943429"/>
        </w:tc>
        <w:tc>
          <w:tcPr>
            <w:tcW w:w="2723" w:type="dxa"/>
            <w:shd w:val="clear" w:color="auto" w:fill="943634" w:themeFill="accent2" w:themeFillShade="BF"/>
          </w:tcPr>
          <w:p w:rsidR="00943429" w:rsidRDefault="00943429" w:rsidP="00943429"/>
        </w:tc>
      </w:tr>
      <w:tr w:rsidR="00943429" w:rsidTr="00011480"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3429" w:rsidRPr="00943429" w:rsidRDefault="00943429" w:rsidP="00943429">
            <w:pPr>
              <w:rPr>
                <w:b/>
                <w:sz w:val="1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3429" w:rsidRDefault="00943429" w:rsidP="00943429">
            <w:pPr>
              <w:jc w:val="center"/>
              <w:rPr>
                <w:b/>
                <w:sz w:val="20"/>
              </w:rPr>
            </w:pPr>
          </w:p>
          <w:p w:rsidR="00943429" w:rsidRPr="00943429" w:rsidRDefault="00943429" w:rsidP="00943429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943429" w:rsidRDefault="00943429" w:rsidP="00943429"/>
          <w:p w:rsidR="00943429" w:rsidRDefault="00943429" w:rsidP="00943429"/>
          <w:p w:rsidR="00943429" w:rsidRDefault="00943429" w:rsidP="00943429"/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943634" w:themeFill="accent2" w:themeFillShade="BF"/>
          </w:tcPr>
          <w:p w:rsidR="00943429" w:rsidRDefault="00943429" w:rsidP="00943429"/>
        </w:tc>
        <w:tc>
          <w:tcPr>
            <w:tcW w:w="2723" w:type="dxa"/>
            <w:tcBorders>
              <w:bottom w:val="single" w:sz="8" w:space="0" w:color="auto"/>
            </w:tcBorders>
            <w:shd w:val="clear" w:color="auto" w:fill="943634" w:themeFill="accent2" w:themeFillShade="BF"/>
          </w:tcPr>
          <w:p w:rsidR="00943429" w:rsidRDefault="00943429" w:rsidP="00943429"/>
        </w:tc>
      </w:tr>
      <w:tr w:rsidR="00943429" w:rsidTr="00011480"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3429" w:rsidRPr="00943429" w:rsidRDefault="00943429" w:rsidP="00943429">
            <w:pPr>
              <w:rPr>
                <w:b/>
                <w:sz w:val="14"/>
              </w:rPr>
            </w:pP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943429" w:rsidRDefault="00943429" w:rsidP="00943429">
            <w:pPr>
              <w:jc w:val="center"/>
              <w:rPr>
                <w:b/>
                <w:sz w:val="20"/>
              </w:rPr>
            </w:pPr>
          </w:p>
          <w:p w:rsidR="00943429" w:rsidRPr="00943429" w:rsidRDefault="00943429" w:rsidP="00943429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</w:tcBorders>
            <w:shd w:val="clear" w:color="auto" w:fill="D99594" w:themeFill="accent2" w:themeFillTint="99"/>
          </w:tcPr>
          <w:p w:rsidR="00943429" w:rsidRDefault="00943429" w:rsidP="00943429"/>
          <w:p w:rsidR="00943429" w:rsidRDefault="00943429" w:rsidP="00943429"/>
          <w:p w:rsidR="00943429" w:rsidRDefault="00943429" w:rsidP="00943429"/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9594" w:themeFill="accent2" w:themeFillTint="99"/>
          </w:tcPr>
          <w:p w:rsidR="00943429" w:rsidRDefault="00943429" w:rsidP="00943429"/>
        </w:tc>
        <w:tc>
          <w:tcPr>
            <w:tcW w:w="2723" w:type="dxa"/>
            <w:tcBorders>
              <w:top w:val="single" w:sz="8" w:space="0" w:color="auto"/>
              <w:right w:val="single" w:sz="8" w:space="0" w:color="auto"/>
            </w:tcBorders>
            <w:shd w:val="clear" w:color="auto" w:fill="76923C" w:themeFill="accent3" w:themeFillShade="BF"/>
          </w:tcPr>
          <w:p w:rsidR="00943429" w:rsidRDefault="00943429" w:rsidP="00943429"/>
        </w:tc>
      </w:tr>
      <w:tr w:rsidR="00943429" w:rsidTr="00011480"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3429" w:rsidRDefault="00943429" w:rsidP="00943429"/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943429" w:rsidRDefault="00943429" w:rsidP="00943429">
            <w:pPr>
              <w:jc w:val="center"/>
              <w:rPr>
                <w:b/>
                <w:sz w:val="20"/>
              </w:rPr>
            </w:pPr>
          </w:p>
          <w:p w:rsidR="00943429" w:rsidRPr="00943429" w:rsidRDefault="00943429" w:rsidP="00943429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2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943429" w:rsidRDefault="00943429" w:rsidP="00943429"/>
          <w:p w:rsidR="00943429" w:rsidRDefault="00943429" w:rsidP="00943429"/>
          <w:p w:rsidR="00943429" w:rsidRDefault="00943429" w:rsidP="00943429"/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C2D69B" w:themeFill="accent3" w:themeFillTint="99"/>
          </w:tcPr>
          <w:p w:rsidR="00943429" w:rsidRDefault="00943429" w:rsidP="00943429"/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43429" w:rsidRDefault="00943429" w:rsidP="00943429"/>
        </w:tc>
      </w:tr>
      <w:tr w:rsidR="00943429" w:rsidTr="00011480"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3429" w:rsidRDefault="00943429" w:rsidP="00943429"/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3429" w:rsidRDefault="00943429" w:rsidP="00943429">
            <w:pPr>
              <w:jc w:val="center"/>
              <w:rPr>
                <w:b/>
                <w:sz w:val="20"/>
              </w:rPr>
            </w:pPr>
          </w:p>
          <w:p w:rsidR="00943429" w:rsidRPr="00943429" w:rsidRDefault="00943429" w:rsidP="00943429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943429" w:rsidRDefault="00943429" w:rsidP="00943429"/>
          <w:p w:rsidR="00943429" w:rsidRDefault="00943429" w:rsidP="00943429"/>
          <w:p w:rsidR="00943429" w:rsidRDefault="00943429" w:rsidP="00943429"/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C2D69B" w:themeFill="accent3" w:themeFillTint="99"/>
          </w:tcPr>
          <w:p w:rsidR="00943429" w:rsidRDefault="00943429" w:rsidP="00943429"/>
        </w:tc>
        <w:tc>
          <w:tcPr>
            <w:tcW w:w="2723" w:type="dxa"/>
            <w:tcBorders>
              <w:top w:val="single" w:sz="8" w:space="0" w:color="auto"/>
            </w:tcBorders>
            <w:shd w:val="clear" w:color="auto" w:fill="C2D69B" w:themeFill="accent3" w:themeFillTint="99"/>
          </w:tcPr>
          <w:p w:rsidR="00943429" w:rsidRDefault="00943429" w:rsidP="00943429"/>
        </w:tc>
      </w:tr>
      <w:tr w:rsidR="00943429" w:rsidTr="0074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98" w:type="dxa"/>
          <w:trHeight w:val="383"/>
        </w:trPr>
        <w:tc>
          <w:tcPr>
            <w:tcW w:w="793" w:type="dxa"/>
            <w:shd w:val="clear" w:color="auto" w:fill="F2F2F2" w:themeFill="background1" w:themeFillShade="F2"/>
          </w:tcPr>
          <w:p w:rsidR="00943429" w:rsidRPr="00943429" w:rsidRDefault="00943429" w:rsidP="00943429">
            <w:pPr>
              <w:jc w:val="center"/>
              <w:rPr>
                <w:b/>
              </w:rPr>
            </w:pPr>
            <w:r w:rsidRPr="0074167A">
              <w:rPr>
                <w:b/>
                <w:sz w:val="14"/>
              </w:rPr>
              <w:t>Pravděpodobnost výskytu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943429" w:rsidRPr="00943429" w:rsidRDefault="00C8374D" w:rsidP="00C8374D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N</w:t>
            </w:r>
            <w:r w:rsidR="00943429" w:rsidRPr="00943429">
              <w:rPr>
                <w:b/>
                <w:sz w:val="20"/>
              </w:rPr>
              <w:t>ízká</w:t>
            </w:r>
            <w:r>
              <w:rPr>
                <w:b/>
                <w:sz w:val="20"/>
              </w:rPr>
              <w:t xml:space="preserve"> </w:t>
            </w:r>
            <w:r w:rsidRPr="00C8374D">
              <w:rPr>
                <w:b/>
                <w:sz w:val="14"/>
              </w:rPr>
              <w:t>(A)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43429" w:rsidRPr="00943429" w:rsidRDefault="00C8374D" w:rsidP="0074167A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S</w:t>
            </w:r>
            <w:r w:rsidR="00943429" w:rsidRPr="00943429">
              <w:rPr>
                <w:b/>
                <w:sz w:val="20"/>
              </w:rPr>
              <w:t>třední</w:t>
            </w:r>
            <w:r>
              <w:rPr>
                <w:b/>
                <w:sz w:val="20"/>
              </w:rPr>
              <w:t xml:space="preserve"> </w:t>
            </w:r>
            <w:r w:rsidRPr="00C8374D">
              <w:rPr>
                <w:b/>
                <w:sz w:val="14"/>
              </w:rPr>
              <w:t>(B)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943429" w:rsidRPr="00943429" w:rsidRDefault="00C8374D" w:rsidP="0074167A">
            <w:pPr>
              <w:jc w:val="center"/>
              <w:rPr>
                <w:b/>
                <w:sz w:val="20"/>
              </w:rPr>
            </w:pPr>
            <w:r w:rsidRPr="00943429">
              <w:rPr>
                <w:b/>
                <w:sz w:val="20"/>
              </w:rPr>
              <w:t>V</w:t>
            </w:r>
            <w:r w:rsidR="00943429" w:rsidRPr="00943429">
              <w:rPr>
                <w:b/>
                <w:sz w:val="20"/>
              </w:rPr>
              <w:t>ysoká</w:t>
            </w:r>
            <w:r>
              <w:rPr>
                <w:b/>
                <w:sz w:val="20"/>
              </w:rPr>
              <w:t xml:space="preserve"> </w:t>
            </w:r>
            <w:r w:rsidRPr="00C8374D">
              <w:rPr>
                <w:b/>
                <w:sz w:val="14"/>
              </w:rPr>
              <w:t>(C)</w:t>
            </w:r>
          </w:p>
        </w:tc>
      </w:tr>
    </w:tbl>
    <w:p w:rsidR="008A65BF" w:rsidRDefault="008A65BF" w:rsidP="008A65BF"/>
    <w:p w:rsidR="0041757E" w:rsidRDefault="006E4E55" w:rsidP="0041630B">
      <w:pPr>
        <w:jc w:val="both"/>
        <w:rPr>
          <w:rFonts w:ascii="Courier New" w:hAnsi="Courier New" w:cs="Courier New"/>
          <w:sz w:val="16"/>
        </w:rPr>
      </w:pPr>
      <w:r w:rsidRPr="0041630B">
        <w:rPr>
          <w:rFonts w:ascii="Courier New" w:hAnsi="Courier New" w:cs="Courier New"/>
          <w:sz w:val="16"/>
        </w:rPr>
        <w:t xml:space="preserve">Vpište do tabulky známá rizika související s projektem. </w:t>
      </w:r>
      <w:r w:rsidR="00506C7C" w:rsidRPr="0041630B">
        <w:rPr>
          <w:rFonts w:ascii="Courier New" w:hAnsi="Courier New" w:cs="Courier New"/>
          <w:sz w:val="16"/>
        </w:rPr>
        <w:t xml:space="preserve">Vertikální osa </w:t>
      </w:r>
      <w:r w:rsidR="0041630B" w:rsidRPr="0041630B">
        <w:rPr>
          <w:rFonts w:ascii="Courier New" w:hAnsi="Courier New" w:cs="Courier New"/>
          <w:sz w:val="16"/>
        </w:rPr>
        <w:t xml:space="preserve">určuje míru závažnosti jejich dopadu na projekt (1 – málo závažné </w:t>
      </w:r>
      <w:r w:rsidR="00C8374D">
        <w:rPr>
          <w:rFonts w:ascii="Courier New" w:hAnsi="Courier New" w:cs="Courier New"/>
          <w:sz w:val="16"/>
        </w:rPr>
        <w:t>důsledky</w:t>
      </w:r>
      <w:r w:rsidR="0041630B" w:rsidRPr="0041630B">
        <w:rPr>
          <w:rFonts w:ascii="Courier New" w:hAnsi="Courier New" w:cs="Courier New"/>
          <w:sz w:val="16"/>
        </w:rPr>
        <w:t>, 5 – riziko, které v případě realizace projekt zcela zastaví), horizontální pravděpodobnost, že dojde k realizaci rizika.</w:t>
      </w:r>
      <w:r w:rsidR="0096151D">
        <w:rPr>
          <w:rFonts w:ascii="Courier New" w:hAnsi="Courier New" w:cs="Courier New"/>
          <w:sz w:val="16"/>
        </w:rPr>
        <w:t xml:space="preserve"> Za normálních okolností by většina rizik měla ležet v tučně ohraničené oblasti. </w:t>
      </w:r>
    </w:p>
    <w:tbl>
      <w:tblPr>
        <w:tblStyle w:val="Mkatabulky"/>
        <w:tblW w:w="0" w:type="auto"/>
        <w:tblLook w:val="04A0"/>
      </w:tblPr>
      <w:tblGrid>
        <w:gridCol w:w="2376"/>
        <w:gridCol w:w="6908"/>
      </w:tblGrid>
      <w:tr w:rsidR="0041757E" w:rsidTr="0010447E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757E" w:rsidRPr="009779A1" w:rsidRDefault="0041757E" w:rsidP="0010447E">
            <w:pPr>
              <w:jc w:val="center"/>
              <w:rPr>
                <w:rFonts w:ascii="Courier New" w:hAnsi="Courier New" w:cs="Courier New"/>
                <w:b/>
                <w:sz w:val="16"/>
              </w:rPr>
            </w:pPr>
            <w:r w:rsidRPr="009779A1">
              <w:rPr>
                <w:rFonts w:ascii="Courier New" w:hAnsi="Courier New" w:cs="Courier New"/>
                <w:b/>
                <w:sz w:val="16"/>
              </w:rPr>
              <w:t>Barevný index rizika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10447E" w:rsidRDefault="0010447E" w:rsidP="0010447E">
            <w:p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  <w:p w:rsidR="0041757E" w:rsidRDefault="0041757E" w:rsidP="0010447E">
            <w:pPr>
              <w:jc w:val="center"/>
              <w:rPr>
                <w:rFonts w:ascii="Courier New" w:hAnsi="Courier New" w:cs="Courier New"/>
                <w:b/>
                <w:sz w:val="16"/>
              </w:rPr>
            </w:pPr>
            <w:r w:rsidRPr="009779A1">
              <w:rPr>
                <w:rFonts w:ascii="Courier New" w:hAnsi="Courier New" w:cs="Courier New"/>
                <w:b/>
                <w:sz w:val="16"/>
              </w:rPr>
              <w:t>Vysvětlení</w:t>
            </w:r>
          </w:p>
          <w:p w:rsidR="0010447E" w:rsidRPr="009779A1" w:rsidRDefault="0010447E" w:rsidP="0010447E">
            <w:p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41757E" w:rsidTr="00011480">
        <w:tc>
          <w:tcPr>
            <w:tcW w:w="2376" w:type="dxa"/>
            <w:shd w:val="clear" w:color="auto" w:fill="943634" w:themeFill="accent2" w:themeFillShade="BF"/>
            <w:vAlign w:val="center"/>
          </w:tcPr>
          <w:p w:rsidR="0041757E" w:rsidRPr="0010447E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10447E">
              <w:rPr>
                <w:rFonts w:ascii="Courier New" w:hAnsi="Courier New" w:cs="Courier New"/>
                <w:sz w:val="16"/>
              </w:rPr>
              <w:t>B4,B5,C4,C5</w:t>
            </w:r>
          </w:p>
        </w:tc>
        <w:tc>
          <w:tcPr>
            <w:tcW w:w="6908" w:type="dxa"/>
          </w:tcPr>
          <w:p w:rsidR="0041757E" w:rsidRDefault="00E9461C" w:rsidP="0041630B">
            <w:pPr>
              <w:jc w:val="both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„</w:t>
            </w:r>
            <w:r w:rsidRPr="00E9461C">
              <w:rPr>
                <w:rFonts w:ascii="Courier New" w:hAnsi="Courier New" w:cs="Courier New"/>
                <w:b/>
                <w:sz w:val="16"/>
              </w:rPr>
              <w:t xml:space="preserve">Show </w:t>
            </w:r>
            <w:proofErr w:type="spellStart"/>
            <w:r w:rsidRPr="00E9461C">
              <w:rPr>
                <w:rFonts w:ascii="Courier New" w:hAnsi="Courier New" w:cs="Courier New"/>
                <w:b/>
                <w:sz w:val="16"/>
              </w:rPr>
              <w:t>stoppers</w:t>
            </w:r>
            <w:proofErr w:type="spellEnd"/>
            <w:r>
              <w:rPr>
                <w:rFonts w:ascii="Courier New" w:hAnsi="Courier New" w:cs="Courier New"/>
                <w:sz w:val="16"/>
              </w:rPr>
              <w:t>“. Tato rizika představují největší problém a řešíme je v rámci možností jako první.</w:t>
            </w:r>
            <w:r w:rsidR="00C95D8D">
              <w:rPr>
                <w:rFonts w:ascii="Courier New" w:hAnsi="Courier New" w:cs="Courier New"/>
                <w:sz w:val="16"/>
              </w:rPr>
              <w:t xml:space="preserve"> Je potřeba jim předcházet preventivními kroky. </w:t>
            </w:r>
            <w:r>
              <w:rPr>
                <w:rFonts w:ascii="Courier New" w:hAnsi="Courier New" w:cs="Courier New"/>
                <w:sz w:val="16"/>
              </w:rPr>
              <w:t xml:space="preserve"> U normálně riskantního projektu jich bývá velmi málo. </w:t>
            </w:r>
          </w:p>
        </w:tc>
      </w:tr>
      <w:tr w:rsidR="0041757E" w:rsidTr="00011480">
        <w:tc>
          <w:tcPr>
            <w:tcW w:w="2376" w:type="dxa"/>
            <w:shd w:val="clear" w:color="auto" w:fill="D99594" w:themeFill="accent2" w:themeFillTint="99"/>
            <w:vAlign w:val="center"/>
          </w:tcPr>
          <w:p w:rsidR="0041757E" w:rsidRPr="009779A1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9779A1">
              <w:rPr>
                <w:rFonts w:ascii="Courier New" w:hAnsi="Courier New" w:cs="Courier New"/>
                <w:sz w:val="16"/>
              </w:rPr>
              <w:t>A3,B3</w:t>
            </w:r>
          </w:p>
        </w:tc>
        <w:tc>
          <w:tcPr>
            <w:tcW w:w="6908" w:type="dxa"/>
          </w:tcPr>
          <w:p w:rsidR="0041757E" w:rsidRPr="00A5630F" w:rsidRDefault="00A5630F" w:rsidP="0041630B">
            <w:pPr>
              <w:jc w:val="both"/>
              <w:rPr>
                <w:rFonts w:ascii="Courier New" w:hAnsi="Courier New" w:cs="Courier New"/>
                <w:sz w:val="16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</w:rPr>
              <w:t>Blockers</w:t>
            </w:r>
            <w:proofErr w:type="spellEnd"/>
            <w:r>
              <w:rPr>
                <w:rFonts w:ascii="Courier New" w:hAnsi="Courier New" w:cs="Courier New"/>
                <w:b/>
                <w:sz w:val="16"/>
              </w:rPr>
              <w:t xml:space="preserve">. </w:t>
            </w:r>
            <w:r w:rsidR="00600D9C">
              <w:rPr>
                <w:rFonts w:ascii="Courier New" w:hAnsi="Courier New" w:cs="Courier New"/>
                <w:sz w:val="16"/>
              </w:rPr>
              <w:t>Střední úroveň dopadů a nižší až střední pravděpodobnost výskytu způsobuje, že tato rizika mohou realizaci projektu zpomalit a blokovat, ale ne zastavit. Spíše než na preventivní opatření je vhodné soustředit se na jejich efektivní a rychlé řešení až nastanou.</w:t>
            </w:r>
          </w:p>
        </w:tc>
      </w:tr>
      <w:tr w:rsidR="0041757E" w:rsidTr="00011480">
        <w:tc>
          <w:tcPr>
            <w:tcW w:w="2376" w:type="dxa"/>
            <w:shd w:val="clear" w:color="auto" w:fill="E5B8B7" w:themeFill="accent2" w:themeFillTint="66"/>
            <w:vAlign w:val="center"/>
          </w:tcPr>
          <w:p w:rsidR="0041757E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A1,A2</w:t>
            </w:r>
          </w:p>
        </w:tc>
        <w:tc>
          <w:tcPr>
            <w:tcW w:w="6908" w:type="dxa"/>
          </w:tcPr>
          <w:p w:rsidR="0041757E" w:rsidRDefault="00E9461C" w:rsidP="0041630B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2C22F9">
              <w:rPr>
                <w:rFonts w:ascii="Courier New" w:hAnsi="Courier New" w:cs="Courier New"/>
                <w:b/>
                <w:sz w:val="16"/>
              </w:rPr>
              <w:t>Marginálie</w:t>
            </w:r>
            <w:r>
              <w:rPr>
                <w:rFonts w:ascii="Courier New" w:hAnsi="Courier New" w:cs="Courier New"/>
                <w:sz w:val="16"/>
              </w:rPr>
              <w:t>. O těchto rizicích bychom měli vědět, ale není-li jich hodně, nevyžadují předběžná opatření.</w:t>
            </w:r>
          </w:p>
        </w:tc>
      </w:tr>
      <w:tr w:rsidR="0041757E" w:rsidTr="00E14736">
        <w:tc>
          <w:tcPr>
            <w:tcW w:w="2376" w:type="dxa"/>
            <w:shd w:val="clear" w:color="auto" w:fill="76923C" w:themeFill="accent3" w:themeFillShade="BF"/>
            <w:vAlign w:val="center"/>
          </w:tcPr>
          <w:p w:rsidR="0041757E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C3</w:t>
            </w:r>
          </w:p>
        </w:tc>
        <w:tc>
          <w:tcPr>
            <w:tcW w:w="6908" w:type="dxa"/>
          </w:tcPr>
          <w:p w:rsidR="0041757E" w:rsidRPr="00B2638A" w:rsidRDefault="00B2638A" w:rsidP="0041630B">
            <w:pPr>
              <w:jc w:val="both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Tichý zabiják</w:t>
            </w:r>
            <w:r>
              <w:rPr>
                <w:rFonts w:ascii="Courier New" w:hAnsi="Courier New" w:cs="Courier New"/>
                <w:sz w:val="16"/>
              </w:rPr>
              <w:t xml:space="preserve">. </w:t>
            </w:r>
            <w:r w:rsidR="009B632E">
              <w:rPr>
                <w:rFonts w:ascii="Courier New" w:hAnsi="Courier New" w:cs="Courier New"/>
                <w:sz w:val="16"/>
              </w:rPr>
              <w:t xml:space="preserve">Vysoká míra pravděpodobnosti vzniku v kombinaci se střední mírou následků může způsobit podcenění tohoto rizika. Reálné následky pak mohou být horší, než o jakých uvažujeme. Těmto rizikům věnujte nadstandardní pozornost. </w:t>
            </w:r>
          </w:p>
        </w:tc>
      </w:tr>
      <w:tr w:rsidR="0041757E" w:rsidTr="00011480">
        <w:tc>
          <w:tcPr>
            <w:tcW w:w="2376" w:type="dxa"/>
            <w:shd w:val="clear" w:color="auto" w:fill="C2D69B" w:themeFill="accent3" w:themeFillTint="99"/>
            <w:vAlign w:val="center"/>
          </w:tcPr>
          <w:p w:rsidR="0041757E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B1,B2,</w:t>
            </w:r>
            <w:proofErr w:type="gramStart"/>
            <w:r>
              <w:rPr>
                <w:rFonts w:ascii="Courier New" w:hAnsi="Courier New" w:cs="Courier New"/>
                <w:sz w:val="16"/>
              </w:rPr>
              <w:t>C1,C2</w:t>
            </w:r>
            <w:proofErr w:type="gramEnd"/>
          </w:p>
        </w:tc>
        <w:tc>
          <w:tcPr>
            <w:tcW w:w="6908" w:type="dxa"/>
          </w:tcPr>
          <w:p w:rsidR="0041757E" w:rsidRPr="00054538" w:rsidRDefault="00054538" w:rsidP="008065FE">
            <w:pPr>
              <w:jc w:val="both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Překážky</w:t>
            </w:r>
            <w:r>
              <w:rPr>
                <w:rFonts w:ascii="Courier New" w:hAnsi="Courier New" w:cs="Courier New"/>
                <w:sz w:val="16"/>
              </w:rPr>
              <w:t xml:space="preserve">. Nízká míra následků těchto rizik </w:t>
            </w:r>
            <w:r w:rsidR="00735757">
              <w:rPr>
                <w:rFonts w:ascii="Courier New" w:hAnsi="Courier New" w:cs="Courier New"/>
                <w:sz w:val="16"/>
              </w:rPr>
              <w:t xml:space="preserve">je kompenzována tím, že se jich v této oblasti obvykle vyskytuje hodně. </w:t>
            </w:r>
            <w:r w:rsidR="00242A7C">
              <w:rPr>
                <w:rFonts w:ascii="Courier New" w:hAnsi="Courier New" w:cs="Courier New"/>
                <w:sz w:val="16"/>
              </w:rPr>
              <w:t xml:space="preserve">Proti rizikům </w:t>
            </w:r>
            <w:r w:rsidR="008065FE">
              <w:rPr>
                <w:rFonts w:ascii="Courier New" w:hAnsi="Courier New" w:cs="Courier New"/>
                <w:sz w:val="16"/>
              </w:rPr>
              <w:t>typu překážky</w:t>
            </w:r>
            <w:r w:rsidR="00242A7C">
              <w:rPr>
                <w:rFonts w:ascii="Courier New" w:hAnsi="Courier New" w:cs="Courier New"/>
                <w:sz w:val="16"/>
              </w:rPr>
              <w:t xml:space="preserve"> lze nejčastěji uplatnit </w:t>
            </w:r>
            <w:r w:rsidR="00242A7C" w:rsidRPr="00BB688C">
              <w:rPr>
                <w:rFonts w:ascii="Courier New" w:hAnsi="Courier New" w:cs="Courier New"/>
                <w:i/>
                <w:sz w:val="16"/>
              </w:rPr>
              <w:t>systémová opatření</w:t>
            </w:r>
            <w:r w:rsidR="00242A7C">
              <w:rPr>
                <w:rFonts w:ascii="Courier New" w:hAnsi="Courier New" w:cs="Courier New"/>
                <w:sz w:val="16"/>
              </w:rPr>
              <w:t xml:space="preserve">; tj. neřešit je jednotlivě, ale jako celek. </w:t>
            </w:r>
          </w:p>
        </w:tc>
      </w:tr>
      <w:tr w:rsidR="0041757E" w:rsidTr="00011480">
        <w:tc>
          <w:tcPr>
            <w:tcW w:w="2376" w:type="dxa"/>
            <w:shd w:val="clear" w:color="auto" w:fill="B8CCE4" w:themeFill="accent1" w:themeFillTint="66"/>
            <w:vAlign w:val="center"/>
          </w:tcPr>
          <w:p w:rsidR="0041757E" w:rsidRDefault="009779A1" w:rsidP="00011480">
            <w:pPr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A4,A5</w:t>
            </w:r>
          </w:p>
        </w:tc>
        <w:tc>
          <w:tcPr>
            <w:tcW w:w="6908" w:type="dxa"/>
          </w:tcPr>
          <w:p w:rsidR="0041757E" w:rsidRPr="004C01FB" w:rsidRDefault="00D516FD" w:rsidP="0041630B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2C22F9">
              <w:rPr>
                <w:rFonts w:ascii="Courier New" w:hAnsi="Courier New" w:cs="Courier New"/>
                <w:b/>
                <w:sz w:val="16"/>
              </w:rPr>
              <w:t>Nepravděpodobné katastrofy</w:t>
            </w:r>
            <w:r>
              <w:rPr>
                <w:rFonts w:ascii="Courier New" w:hAnsi="Courier New" w:cs="Courier New"/>
                <w:sz w:val="16"/>
              </w:rPr>
              <w:t xml:space="preserve">. Tato rizika mohou projekt zastavit, ale nízká pravděpodobnost jejich výskytu způsobuje, že proti nim musíme přijímat jen málo preventivních opatření. </w:t>
            </w:r>
            <w:r w:rsidR="004C01FB">
              <w:rPr>
                <w:rFonts w:ascii="Courier New" w:hAnsi="Courier New" w:cs="Courier New"/>
                <w:sz w:val="16"/>
              </w:rPr>
              <w:t xml:space="preserve">Pozor na špatné vyhodnocení a možnou záměnu se </w:t>
            </w:r>
            <w:r w:rsidR="004C01FB">
              <w:rPr>
                <w:rFonts w:ascii="Courier New" w:hAnsi="Courier New" w:cs="Courier New"/>
                <w:i/>
                <w:sz w:val="16"/>
              </w:rPr>
              <w:t>show stopery.</w:t>
            </w:r>
          </w:p>
        </w:tc>
      </w:tr>
    </w:tbl>
    <w:p w:rsidR="000B1F86" w:rsidRDefault="000B1F86" w:rsidP="000B1F86">
      <w:pPr>
        <w:jc w:val="both"/>
        <w:rPr>
          <w:rFonts w:ascii="Courier New" w:hAnsi="Courier New" w:cs="Courier New"/>
          <w:sz w:val="16"/>
        </w:rPr>
      </w:pPr>
    </w:p>
    <w:p w:rsidR="006E4E55" w:rsidRDefault="000B1F86" w:rsidP="000B1F86">
      <w:pPr>
        <w:jc w:val="both"/>
        <w:rPr>
          <w:rFonts w:ascii="Courier New" w:hAnsi="Courier New" w:cs="Courier New"/>
          <w:sz w:val="16"/>
        </w:rPr>
      </w:pPr>
      <w:r w:rsidRPr="00095C62">
        <w:rPr>
          <w:rFonts w:ascii="Courier New" w:hAnsi="Courier New" w:cs="Courier New"/>
          <w:b/>
          <w:sz w:val="16"/>
        </w:rPr>
        <w:t>Křivka rizikovosti projektu</w:t>
      </w:r>
      <w:r w:rsidRPr="000B1F86">
        <w:rPr>
          <w:rFonts w:ascii="Courier New" w:hAnsi="Courier New" w:cs="Courier New"/>
          <w:sz w:val="16"/>
        </w:rPr>
        <w:t xml:space="preserve">: Čím výše je většina rizik na křivce zakreslené do tabulky, tím více je projekt rizikový jako celek. </w:t>
      </w:r>
    </w:p>
    <w:p w:rsidR="000B1F86" w:rsidRPr="000B1F86" w:rsidRDefault="000B1F86" w:rsidP="000B1F86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Tabulku aktualizujte průběžně vždy vytvořením </w:t>
      </w:r>
      <w:r>
        <w:rPr>
          <w:rFonts w:ascii="Courier New" w:hAnsi="Courier New" w:cs="Courier New"/>
          <w:b/>
          <w:sz w:val="16"/>
        </w:rPr>
        <w:t>nové revize</w:t>
      </w:r>
      <w:r>
        <w:rPr>
          <w:rFonts w:ascii="Courier New" w:hAnsi="Courier New" w:cs="Courier New"/>
          <w:sz w:val="16"/>
        </w:rPr>
        <w:t xml:space="preserve">. Revize ukládejte pod sebe nejnovější nejvýše. Listováním zjistíte vývoj rizik v čase. Rizika, která zcela pominula nebo byla sanována tak, že již </w:t>
      </w:r>
      <w:proofErr w:type="gramStart"/>
      <w:r>
        <w:rPr>
          <w:rFonts w:ascii="Courier New" w:hAnsi="Courier New" w:cs="Courier New"/>
          <w:sz w:val="16"/>
          <w:u w:val="single"/>
        </w:rPr>
        <w:t>nemohou</w:t>
      </w:r>
      <w:proofErr w:type="gramEnd"/>
      <w:r>
        <w:rPr>
          <w:rFonts w:ascii="Courier New" w:hAnsi="Courier New" w:cs="Courier New"/>
          <w:sz w:val="16"/>
        </w:rPr>
        <w:t xml:space="preserve"> nastat do nových verzí </w:t>
      </w:r>
      <w:proofErr w:type="gramStart"/>
      <w:r>
        <w:rPr>
          <w:rFonts w:ascii="Courier New" w:hAnsi="Courier New" w:cs="Courier New"/>
          <w:sz w:val="16"/>
        </w:rPr>
        <w:t>neuvádějte</w:t>
      </w:r>
      <w:proofErr w:type="gramEnd"/>
      <w:r>
        <w:rPr>
          <w:rFonts w:ascii="Courier New" w:hAnsi="Courier New" w:cs="Courier New"/>
          <w:sz w:val="16"/>
        </w:rPr>
        <w:t xml:space="preserve">. </w:t>
      </w:r>
    </w:p>
    <w:sectPr w:rsidR="000B1F86" w:rsidRPr="000B1F86" w:rsidSect="00C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A65BF"/>
    <w:rsid w:val="00011480"/>
    <w:rsid w:val="00054538"/>
    <w:rsid w:val="00095C62"/>
    <w:rsid w:val="000B1F86"/>
    <w:rsid w:val="0010447E"/>
    <w:rsid w:val="0021744C"/>
    <w:rsid w:val="00242A7C"/>
    <w:rsid w:val="002C22F9"/>
    <w:rsid w:val="0041630B"/>
    <w:rsid w:val="0041757E"/>
    <w:rsid w:val="004C01FB"/>
    <w:rsid w:val="00506C7C"/>
    <w:rsid w:val="00600D9C"/>
    <w:rsid w:val="006E4E55"/>
    <w:rsid w:val="00735757"/>
    <w:rsid w:val="0074167A"/>
    <w:rsid w:val="008065FE"/>
    <w:rsid w:val="008A65BF"/>
    <w:rsid w:val="00943429"/>
    <w:rsid w:val="0096151D"/>
    <w:rsid w:val="009779A1"/>
    <w:rsid w:val="009B632E"/>
    <w:rsid w:val="00A5630F"/>
    <w:rsid w:val="00B2638A"/>
    <w:rsid w:val="00B312AB"/>
    <w:rsid w:val="00B60C71"/>
    <w:rsid w:val="00BB688C"/>
    <w:rsid w:val="00BE1967"/>
    <w:rsid w:val="00C8374D"/>
    <w:rsid w:val="00C95D8D"/>
    <w:rsid w:val="00CE108F"/>
    <w:rsid w:val="00D516FD"/>
    <w:rsid w:val="00E14736"/>
    <w:rsid w:val="00E9461C"/>
    <w:rsid w:val="00F3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08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6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6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4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31</cp:revision>
  <dcterms:created xsi:type="dcterms:W3CDTF">2010-03-02T16:37:00Z</dcterms:created>
  <dcterms:modified xsi:type="dcterms:W3CDTF">2010-03-02T19:55:00Z</dcterms:modified>
</cp:coreProperties>
</file>